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>
        <w:rPr>
          <w:rFonts w:ascii="Verdana" w:hAnsi="Verdana"/>
          <w:color w:val="1F262D"/>
          <w:sz w:val="18"/>
          <w:szCs w:val="18"/>
        </w:rPr>
        <w:t>Минобрнауки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России от 24.12.2013 №1400).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Кто относится к выпускникам с ограниченными возможностями здоровья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Согласно Федеральному Закону «Об образовании в Российской Федерации» от 29 декабря 2012 года № 273-ФЗ «</w:t>
      </w:r>
      <w:proofErr w:type="gramStart"/>
      <w:r>
        <w:rPr>
          <w:rFonts w:ascii="Verdana" w:hAnsi="Verdana"/>
          <w:color w:val="1F262D"/>
          <w:sz w:val="18"/>
          <w:szCs w:val="18"/>
        </w:rPr>
        <w:t>Обучающийся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>
        <w:rPr>
          <w:rFonts w:ascii="Verdana" w:hAnsi="Verdana"/>
          <w:color w:val="1F262D"/>
          <w:sz w:val="18"/>
          <w:szCs w:val="18"/>
        </w:rPr>
        <w:t>территориальную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(окружную) ПМПК.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>
        <w:rPr>
          <w:rFonts w:ascii="Verdana" w:hAnsi="Verdana"/>
          <w:color w:val="1F262D"/>
          <w:sz w:val="18"/>
          <w:szCs w:val="18"/>
        </w:rPr>
        <w:t>экзамены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он будет сдавать и в </w:t>
      </w:r>
      <w:proofErr w:type="gramStart"/>
      <w:r>
        <w:rPr>
          <w:rFonts w:ascii="Verdana" w:hAnsi="Verdana"/>
          <w:color w:val="1F262D"/>
          <w:sz w:val="18"/>
          <w:szCs w:val="18"/>
        </w:rPr>
        <w:t>каком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Не откладывайте обращение в ПМПК на последние дни!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ЕГЭ для выпускников с ограниченными возможностями здоровья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Государственная итоговая аттестация проводится с учетом особенностей </w:t>
      </w:r>
      <w:proofErr w:type="gramStart"/>
      <w:r>
        <w:rPr>
          <w:rFonts w:ascii="Verdana" w:hAnsi="Verdana"/>
          <w:color w:val="1F262D"/>
          <w:sz w:val="18"/>
          <w:szCs w:val="18"/>
        </w:rPr>
        <w:t>психофизического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развития, индивидуальных возможностей и состояния здоровья выпускников с ограниченными возможностями здоровья.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>
        <w:rPr>
          <w:rFonts w:ascii="Verdana" w:hAnsi="Verdana"/>
          <w:color w:val="1F262D"/>
          <w:sz w:val="18"/>
          <w:szCs w:val="18"/>
        </w:rPr>
        <w:t>Рособрнадзора</w:t>
      </w:r>
      <w:proofErr w:type="spellEnd"/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ГВЭ для выпускников с ограниченными возможностями здоровья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proofErr w:type="gramStart"/>
      <w:r>
        <w:rPr>
          <w:rFonts w:ascii="Verdana" w:hAnsi="Verdana"/>
          <w:color w:val="1F262D"/>
          <w:sz w:val="18"/>
          <w:szCs w:val="1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возможность использования необходимых технических средств.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Поступление в вуз выпускников с ограниченными возможностями здоровья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Таким образом, заключение ПМПК необходимо будет представить в приемную комиссию ВУЗа.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>
        <w:rPr>
          <w:rFonts w:ascii="Verdana" w:hAnsi="Verdana"/>
          <w:color w:val="1F262D"/>
          <w:sz w:val="18"/>
          <w:szCs w:val="18"/>
        </w:rPr>
        <w:t>испытания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выпускник проходит один раз и по результатам ЕГЭ поступает или не поступает в ВУЗ.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 с ограниченными возможностями здоровья, который выбрал </w:t>
      </w:r>
      <w:proofErr w:type="spellStart"/>
      <w:r>
        <w:rPr>
          <w:rFonts w:ascii="Verdana" w:hAnsi="Verdana"/>
          <w:color w:val="1F262D"/>
          <w:sz w:val="18"/>
          <w:szCs w:val="18"/>
        </w:rPr>
        <w:t>госдарственную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6459F0" w:rsidRDefault="006459F0" w:rsidP="006459F0">
      <w:pPr>
        <w:pStyle w:val="a3"/>
        <w:shd w:val="clear" w:color="auto" w:fill="F2F2F2"/>
        <w:spacing w:before="0" w:beforeAutospacing="0" w:after="0" w:afterAutospacing="0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lastRenderedPageBreak/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3C0724" w:rsidRDefault="003C0724">
      <w:bookmarkStart w:id="0" w:name="_GoBack"/>
      <w:bookmarkEnd w:id="0"/>
    </w:p>
    <w:sectPr w:rsidR="003C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77"/>
    <w:rsid w:val="003C0724"/>
    <w:rsid w:val="00613D77"/>
    <w:rsid w:val="006459F0"/>
    <w:rsid w:val="007D2BBC"/>
    <w:rsid w:val="00D55B01"/>
    <w:rsid w:val="00E7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9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4204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2018-03-13T19:12:00Z</dcterms:created>
  <dcterms:modified xsi:type="dcterms:W3CDTF">2018-03-13T19:12:00Z</dcterms:modified>
</cp:coreProperties>
</file>